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38583" w14:textId="77777777" w:rsidR="00BC3D63" w:rsidRPr="00BC3D63" w:rsidRDefault="00BC3D63" w:rsidP="00BC3D63">
      <w:pPr>
        <w:jc w:val="center"/>
        <w:rPr>
          <w:rFonts w:eastAsia="Times New Roman" w:cs="Courier New"/>
          <w:b/>
          <w:noProof/>
          <w:color w:val="000000"/>
          <w:sz w:val="56"/>
          <w:szCs w:val="56"/>
          <w:lang w:eastAsia="en-GB"/>
        </w:rPr>
      </w:pPr>
      <w:r w:rsidRPr="00BC3D63">
        <w:rPr>
          <w:rFonts w:eastAsia="Times New Roman" w:cs="Courier New"/>
          <w:b/>
          <w:noProof/>
          <w:color w:val="000000"/>
          <w:sz w:val="56"/>
          <w:szCs w:val="56"/>
          <w:lang w:eastAsia="en-GB"/>
        </w:rPr>
        <w:drawing>
          <wp:anchor distT="0" distB="0" distL="114300" distR="114300" simplePos="0" relativeHeight="251658240" behindDoc="0" locked="0" layoutInCell="1" allowOverlap="1" wp14:anchorId="27C7FF4D" wp14:editId="3E9A04B7">
            <wp:simplePos x="0" y="0"/>
            <wp:positionH relativeFrom="column">
              <wp:posOffset>-47625</wp:posOffset>
            </wp:positionH>
            <wp:positionV relativeFrom="paragraph">
              <wp:posOffset>-407670</wp:posOffset>
            </wp:positionV>
            <wp:extent cx="981075" cy="914184"/>
            <wp:effectExtent l="0" t="0" r="0" b="635"/>
            <wp:wrapNone/>
            <wp:docPr id="1" name="Picture 1" descr="LMC La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C Law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914184"/>
                    </a:xfrm>
                    <a:prstGeom prst="rect">
                      <a:avLst/>
                    </a:prstGeom>
                    <a:noFill/>
                    <a:ln>
                      <a:noFill/>
                    </a:ln>
                  </pic:spPr>
                </pic:pic>
              </a:graphicData>
            </a:graphic>
          </wp:anchor>
        </w:drawing>
      </w:r>
      <w:r w:rsidRPr="00BC3D63">
        <w:rPr>
          <w:rFonts w:eastAsia="Times New Roman" w:cs="Courier New"/>
          <w:b/>
          <w:noProof/>
          <w:color w:val="000000"/>
          <w:sz w:val="56"/>
          <w:szCs w:val="56"/>
          <w:lang w:eastAsia="en-GB"/>
        </w:rPr>
        <w:t xml:space="preserve">LMC Law ADVICE SHEET </w:t>
      </w:r>
    </w:p>
    <w:p w14:paraId="18C5CA09" w14:textId="77777777" w:rsidR="00BC3D63" w:rsidRPr="00BC3D63" w:rsidRDefault="00BC3D63" w:rsidP="00BC3D63">
      <w:pPr>
        <w:jc w:val="center"/>
        <w:rPr>
          <w:rFonts w:eastAsia="Times New Roman" w:cs="Courier New"/>
          <w:b/>
          <w:noProof/>
          <w:color w:val="4472C4" w:themeColor="accent1"/>
          <w:sz w:val="40"/>
          <w:szCs w:val="20"/>
          <w:lang w:eastAsia="en-GB"/>
        </w:rPr>
      </w:pPr>
      <w:r w:rsidRPr="00BC3D63">
        <w:rPr>
          <w:rFonts w:eastAsia="Times New Roman" w:cs="Courier New"/>
          <w:b/>
          <w:noProof/>
          <w:color w:val="4472C4" w:themeColor="accent1"/>
          <w:sz w:val="40"/>
          <w:szCs w:val="20"/>
          <w:lang w:eastAsia="en-GB"/>
        </w:rPr>
        <w:t xml:space="preserve">Suspension Payments – A Practical Guide for Partners </w:t>
      </w:r>
    </w:p>
    <w:p w14:paraId="76E46DC5" w14:textId="77777777" w:rsidR="00885761" w:rsidRDefault="00885761" w:rsidP="00BC3D63">
      <w:pPr>
        <w:rPr>
          <w:b/>
          <w:sz w:val="28"/>
          <w:szCs w:val="28"/>
        </w:rPr>
      </w:pPr>
    </w:p>
    <w:p w14:paraId="345408BE" w14:textId="77777777" w:rsidR="00BC3D63" w:rsidRPr="002E25E0" w:rsidRDefault="00BC3D63" w:rsidP="00B43D6A">
      <w:pPr>
        <w:spacing w:after="0"/>
        <w:rPr>
          <w:b/>
          <w:color w:val="4472C4" w:themeColor="accent1"/>
          <w:sz w:val="28"/>
          <w:szCs w:val="28"/>
        </w:rPr>
      </w:pPr>
      <w:r w:rsidRPr="002E25E0">
        <w:rPr>
          <w:b/>
          <w:color w:val="4472C4" w:themeColor="accent1"/>
          <w:sz w:val="28"/>
          <w:szCs w:val="28"/>
        </w:rPr>
        <w:t>SUSPENSION</w:t>
      </w:r>
    </w:p>
    <w:p w14:paraId="16E02356" w14:textId="77777777" w:rsidR="00885761" w:rsidRDefault="00BC3D63" w:rsidP="00B43D6A">
      <w:pPr>
        <w:spacing w:after="0"/>
        <w:jc w:val="both"/>
      </w:pPr>
      <w:r>
        <w:t>Suspension is supposed to be a neutral act, but it is incumbent upon practices to ensure that they know exactly what to do in terms of obtaining the best financial position should a GP be suspended from practice.</w:t>
      </w:r>
      <w:r w:rsidR="00885761">
        <w:t xml:space="preserve"> </w:t>
      </w:r>
      <w:r>
        <w:t>For the purposes of this bulletin, we shall be focusing on GP Partners.</w:t>
      </w:r>
    </w:p>
    <w:p w14:paraId="2FB86A91" w14:textId="77777777" w:rsidR="007E139B" w:rsidRDefault="007E139B" w:rsidP="00B43D6A">
      <w:pPr>
        <w:spacing w:after="0"/>
        <w:jc w:val="both"/>
      </w:pPr>
    </w:p>
    <w:p w14:paraId="50DD0BB9" w14:textId="77777777" w:rsidR="00885761" w:rsidRPr="002E25E0" w:rsidRDefault="00BC3D63" w:rsidP="00B43D6A">
      <w:pPr>
        <w:spacing w:after="0"/>
        <w:rPr>
          <w:b/>
          <w:color w:val="4472C4" w:themeColor="accent1"/>
          <w:sz w:val="28"/>
          <w:szCs w:val="28"/>
        </w:rPr>
      </w:pPr>
      <w:r w:rsidRPr="002E25E0">
        <w:rPr>
          <w:b/>
          <w:color w:val="4472C4" w:themeColor="accent1"/>
          <w:sz w:val="28"/>
          <w:szCs w:val="28"/>
        </w:rPr>
        <w:t>THE RULES</w:t>
      </w:r>
    </w:p>
    <w:p w14:paraId="4B17AA3F" w14:textId="77777777" w:rsidR="00BC3D63" w:rsidRDefault="00BC3D63" w:rsidP="00B43D6A">
      <w:pPr>
        <w:spacing w:after="0"/>
        <w:jc w:val="both"/>
      </w:pPr>
      <w:r>
        <w:t xml:space="preserve"> To complicate matters there are two sets of processes that a practice may choose from in terms of obtaining payments for a suspended partner. Whichever one they choose, they must adhere to, and cannot change part way through. These processes are reflected in</w:t>
      </w:r>
      <w:r w:rsidR="005A3A3B">
        <w:t>:</w:t>
      </w:r>
      <w:r>
        <w:t xml:space="preserve">  </w:t>
      </w:r>
    </w:p>
    <w:p w14:paraId="65EB1E42" w14:textId="77777777" w:rsidR="002E25E0" w:rsidRDefault="00BC3D63" w:rsidP="00B43D6A">
      <w:pPr>
        <w:pStyle w:val="ListParagraph"/>
        <w:numPr>
          <w:ilvl w:val="0"/>
          <w:numId w:val="1"/>
        </w:numPr>
        <w:spacing w:after="0"/>
        <w:contextualSpacing w:val="0"/>
        <w:jc w:val="both"/>
      </w:pPr>
      <w:r>
        <w:t>The General Medical Services Statement of Financial Entitlements Directions;</w:t>
      </w:r>
    </w:p>
    <w:p w14:paraId="07F4AEFC" w14:textId="77777777" w:rsidR="00EE3DF5" w:rsidRDefault="00BC3D63" w:rsidP="00B43D6A">
      <w:pPr>
        <w:pStyle w:val="ListParagraph"/>
        <w:numPr>
          <w:ilvl w:val="0"/>
          <w:numId w:val="1"/>
        </w:numPr>
        <w:spacing w:after="0"/>
        <w:contextualSpacing w:val="0"/>
        <w:jc w:val="both"/>
      </w:pPr>
      <w:r>
        <w:t>The Secretary of State’s Determination: Payments to Medical Practitioners Suspended from the Performers List</w:t>
      </w:r>
      <w:r w:rsidR="00EE3DF5">
        <w:t>.</w:t>
      </w:r>
    </w:p>
    <w:p w14:paraId="50E9A754" w14:textId="77777777" w:rsidR="00B43D6A" w:rsidRDefault="00B43D6A" w:rsidP="00B43D6A">
      <w:pPr>
        <w:spacing w:after="0"/>
        <w:jc w:val="both"/>
      </w:pPr>
    </w:p>
    <w:p w14:paraId="2EC51AAF" w14:textId="77777777" w:rsidR="006F4C9B" w:rsidRDefault="00BC3D63" w:rsidP="00B43D6A">
      <w:pPr>
        <w:spacing w:after="0"/>
        <w:jc w:val="both"/>
      </w:pPr>
      <w:r w:rsidRPr="006F4C9B">
        <w:rPr>
          <w:b/>
          <w:color w:val="4472C4" w:themeColor="accent1"/>
          <w:sz w:val="28"/>
          <w:szCs w:val="28"/>
        </w:rPr>
        <w:t>THE STATEMENT OF FINANCIAL ENTITLEMENTS</w:t>
      </w:r>
      <w:r>
        <w:t xml:space="preserve"> </w:t>
      </w:r>
    </w:p>
    <w:p w14:paraId="5A9D64E5" w14:textId="77777777" w:rsidR="00BC3D63" w:rsidRDefault="00BC3D63" w:rsidP="00B43D6A">
      <w:pPr>
        <w:spacing w:after="0"/>
        <w:jc w:val="both"/>
      </w:pPr>
      <w:r>
        <w:t>This effectively states that where a partner is suspended</w:t>
      </w:r>
      <w:r w:rsidR="00244464">
        <w:t>,</w:t>
      </w:r>
      <w:r>
        <w:t xml:space="preserve"> the following criteria must be satisfied: </w:t>
      </w:r>
    </w:p>
    <w:p w14:paraId="63347D4E" w14:textId="77777777" w:rsidR="008C56B9" w:rsidRDefault="00BC3D63" w:rsidP="008C56B9">
      <w:pPr>
        <w:pStyle w:val="ListParagraph"/>
        <w:numPr>
          <w:ilvl w:val="0"/>
          <w:numId w:val="2"/>
        </w:numPr>
        <w:spacing w:after="0"/>
        <w:jc w:val="both"/>
      </w:pPr>
      <w:r>
        <w:t>The partner must receive from the partnership at least, 90% of that partners normal monthly drawings</w:t>
      </w:r>
      <w:r w:rsidR="00F6795C">
        <w:t>, or</w:t>
      </w:r>
    </w:p>
    <w:p w14:paraId="6FB80A8D" w14:textId="77777777" w:rsidR="00F6795C" w:rsidRDefault="00BC3D63" w:rsidP="008C56B9">
      <w:pPr>
        <w:pStyle w:val="ListParagraph"/>
        <w:numPr>
          <w:ilvl w:val="0"/>
          <w:numId w:val="2"/>
        </w:numPr>
        <w:spacing w:after="0"/>
        <w:jc w:val="both"/>
      </w:pPr>
      <w:r>
        <w:t>Has paid those drawings to the suspended partner for at least 6 months of the suspension and the performer is still a partner</w:t>
      </w:r>
    </w:p>
    <w:p w14:paraId="0279AEAD" w14:textId="77777777" w:rsidR="00F6795C" w:rsidRDefault="00BC3D63" w:rsidP="008C56B9">
      <w:pPr>
        <w:pStyle w:val="ListParagraph"/>
        <w:numPr>
          <w:ilvl w:val="0"/>
          <w:numId w:val="2"/>
        </w:numPr>
        <w:spacing w:after="0"/>
        <w:jc w:val="both"/>
      </w:pPr>
      <w:r>
        <w:t>A locum is actually and necessarily engaged by the practice</w:t>
      </w:r>
    </w:p>
    <w:p w14:paraId="112EC23F" w14:textId="77777777" w:rsidR="00BC3D63" w:rsidRDefault="00BC3D63" w:rsidP="008C56B9">
      <w:pPr>
        <w:pStyle w:val="ListParagraph"/>
        <w:numPr>
          <w:ilvl w:val="0"/>
          <w:numId w:val="2"/>
        </w:numPr>
        <w:spacing w:after="0"/>
        <w:jc w:val="both"/>
      </w:pPr>
      <w:r>
        <w:t xml:space="preserve">The practice is not claiming any other payment for locum cover (e.g. locum insurance) </w:t>
      </w:r>
    </w:p>
    <w:p w14:paraId="49DEA27C" w14:textId="77777777" w:rsidR="00BC3D63" w:rsidRDefault="00BC3D63" w:rsidP="00B43D6A">
      <w:pPr>
        <w:spacing w:after="0"/>
        <w:jc w:val="both"/>
      </w:pPr>
      <w:r>
        <w:t xml:space="preserve"> </w:t>
      </w:r>
    </w:p>
    <w:p w14:paraId="7D0C5758" w14:textId="77777777" w:rsidR="00BC3D63" w:rsidRDefault="00BC3D63" w:rsidP="00B43D6A">
      <w:pPr>
        <w:spacing w:after="0"/>
        <w:jc w:val="both"/>
      </w:pPr>
      <w:r>
        <w:t xml:space="preserve">Then – the Board must provide financial assistance to the practice in respect of engaging the locum. The clause is, however, qualified and goes on to say that any financial assistance may not be the maximum amount payable to that locum. </w:t>
      </w:r>
    </w:p>
    <w:p w14:paraId="5D7FC52D" w14:textId="77777777" w:rsidR="001C1B9B" w:rsidRDefault="001C1B9B" w:rsidP="00B43D6A">
      <w:pPr>
        <w:spacing w:after="0"/>
        <w:jc w:val="both"/>
      </w:pPr>
    </w:p>
    <w:p w14:paraId="09BC3315" w14:textId="77777777" w:rsidR="00BC3D63" w:rsidRDefault="00BC3D63" w:rsidP="00B43D6A">
      <w:pPr>
        <w:spacing w:after="0"/>
        <w:jc w:val="both"/>
      </w:pPr>
      <w:r>
        <w:t xml:space="preserve">This is rather unsatisfactory, as it is important to note that the full amount of locum costs </w:t>
      </w:r>
      <w:r w:rsidR="00E16C4A">
        <w:t>is</w:t>
      </w:r>
      <w:r>
        <w:t xml:space="preserve"> not guaranteed and there is no opportunity for double payment if you have claimed from any insurance policy. The section further qualifies the payment by making it clear that the decision as to whether a locum is in fact necessary at all</w:t>
      </w:r>
      <w:r w:rsidR="008105AF">
        <w:t>,</w:t>
      </w:r>
      <w:r>
        <w:t xml:space="preserve"> lies with the Board, not with the contractor/practice. </w:t>
      </w:r>
    </w:p>
    <w:p w14:paraId="1400570B" w14:textId="77777777" w:rsidR="008105AF" w:rsidRDefault="008105AF" w:rsidP="00B43D6A">
      <w:pPr>
        <w:spacing w:after="0"/>
        <w:jc w:val="both"/>
      </w:pPr>
    </w:p>
    <w:p w14:paraId="6C17ED20" w14:textId="77777777" w:rsidR="00BC3D63" w:rsidRDefault="00BC3D63" w:rsidP="00B43D6A">
      <w:pPr>
        <w:spacing w:after="0"/>
        <w:jc w:val="both"/>
      </w:pPr>
      <w:r>
        <w:t xml:space="preserve">The </w:t>
      </w:r>
      <w:r w:rsidR="00420908">
        <w:t xml:space="preserve">locum cover payment </w:t>
      </w:r>
      <w:r>
        <w:t xml:space="preserve">is paid directly to the practice and whether paid </w:t>
      </w:r>
      <w:r w:rsidR="00A91DCA">
        <w:t>i</w:t>
      </w:r>
      <w:r>
        <w:t>n full o</w:t>
      </w:r>
      <w:r w:rsidR="00165AE7">
        <w:t>r</w:t>
      </w:r>
      <w:r>
        <w:t xml:space="preserve"> </w:t>
      </w:r>
      <w:r w:rsidR="00A91DCA">
        <w:t xml:space="preserve">in </w:t>
      </w:r>
      <w:r>
        <w:t xml:space="preserve">part, is unlikely to cover the total costs of a locum. </w:t>
      </w:r>
    </w:p>
    <w:p w14:paraId="6CF0E44D" w14:textId="77777777" w:rsidR="00BC3D63" w:rsidRDefault="00BC3D63" w:rsidP="00B43D6A">
      <w:pPr>
        <w:spacing w:after="0"/>
        <w:jc w:val="both"/>
      </w:pPr>
      <w:r>
        <w:t xml:space="preserve">  </w:t>
      </w:r>
    </w:p>
    <w:p w14:paraId="70734B97" w14:textId="77777777" w:rsidR="00BC3D63" w:rsidRDefault="00BC3D63" w:rsidP="00B43D6A">
      <w:pPr>
        <w:spacing w:after="0"/>
        <w:jc w:val="both"/>
      </w:pPr>
      <w:r>
        <w:t xml:space="preserve"> </w:t>
      </w:r>
    </w:p>
    <w:p w14:paraId="1227D62C" w14:textId="77777777" w:rsidR="00BC3D63" w:rsidRDefault="00BC3D63" w:rsidP="00B43D6A">
      <w:pPr>
        <w:spacing w:after="0"/>
        <w:jc w:val="both"/>
      </w:pPr>
    </w:p>
    <w:p w14:paraId="1D500245" w14:textId="77777777" w:rsidR="00A54B81" w:rsidRPr="00C60C78" w:rsidRDefault="00BC3D63" w:rsidP="00B43D6A">
      <w:pPr>
        <w:spacing w:after="0"/>
        <w:jc w:val="both"/>
        <w:rPr>
          <w:b/>
          <w:color w:val="4472C4" w:themeColor="accent1"/>
          <w:sz w:val="28"/>
          <w:szCs w:val="28"/>
        </w:rPr>
      </w:pPr>
      <w:r w:rsidRPr="00C60C78">
        <w:rPr>
          <w:b/>
          <w:color w:val="4472C4" w:themeColor="accent1"/>
          <w:sz w:val="28"/>
          <w:szCs w:val="28"/>
        </w:rPr>
        <w:t>SECRETARY OF STATE’S DETERMINATION</w:t>
      </w:r>
    </w:p>
    <w:p w14:paraId="2173D1F5" w14:textId="77777777" w:rsidR="00BC3D63" w:rsidRDefault="00BC3D63" w:rsidP="00B43D6A">
      <w:pPr>
        <w:spacing w:after="0"/>
        <w:jc w:val="both"/>
      </w:pPr>
      <w:r>
        <w:t>The Determination is far better in terms of a practice/suspended Partner achieving more favourable payments when a suspension occurs. However</w:t>
      </w:r>
      <w:r w:rsidR="0068296C">
        <w:t>,</w:t>
      </w:r>
      <w:r>
        <w:t xml:space="preserve"> it is important to note that the conditions to satisfy this payment are stringent and will also require cooperation between partners which should be reflected in any partnership agreement. </w:t>
      </w:r>
    </w:p>
    <w:p w14:paraId="734A6304" w14:textId="77777777" w:rsidR="00546B6E" w:rsidRDefault="00546B6E" w:rsidP="00B43D6A">
      <w:pPr>
        <w:spacing w:after="0"/>
        <w:jc w:val="both"/>
      </w:pPr>
    </w:p>
    <w:p w14:paraId="07C58771" w14:textId="77777777" w:rsidR="00546B6E" w:rsidRDefault="00BC3D63" w:rsidP="00B43D6A">
      <w:pPr>
        <w:spacing w:after="0"/>
        <w:jc w:val="both"/>
      </w:pPr>
      <w:r>
        <w:t>Essentially, once a partner is suspended</w:t>
      </w:r>
      <w:r w:rsidR="00546B6E">
        <w:t>,</w:t>
      </w:r>
      <w:r>
        <w:t xml:space="preserve"> he cannot be entitled to receive at least 90% of his normal monthly drawings. Once this condition is satisfied, then the partner will be paid by </w:t>
      </w:r>
      <w:r w:rsidR="00512404">
        <w:t>NHS England (</w:t>
      </w:r>
      <w:r>
        <w:t>NHSE</w:t>
      </w:r>
      <w:r w:rsidR="00512404">
        <w:t>)</w:t>
      </w:r>
      <w:r>
        <w:t xml:space="preserve"> 90% of his normal monthly drawings to compensate.</w:t>
      </w:r>
    </w:p>
    <w:p w14:paraId="3FE9BE9C" w14:textId="77777777" w:rsidR="00BC3D63" w:rsidRDefault="00BC3D63" w:rsidP="00B43D6A">
      <w:pPr>
        <w:spacing w:after="0"/>
        <w:jc w:val="both"/>
      </w:pPr>
      <w:r>
        <w:t xml:space="preserve">  </w:t>
      </w:r>
    </w:p>
    <w:p w14:paraId="0542483B" w14:textId="77777777" w:rsidR="00BC3D63" w:rsidRDefault="00BC3D63" w:rsidP="00B43D6A">
      <w:pPr>
        <w:spacing w:after="0"/>
        <w:jc w:val="both"/>
      </w:pPr>
      <w:r>
        <w:t xml:space="preserve">Note this payment will be made directly to the suspended partner. </w:t>
      </w:r>
    </w:p>
    <w:p w14:paraId="5AD9C5F1" w14:textId="77777777" w:rsidR="00546B6E" w:rsidRDefault="00546B6E" w:rsidP="00B43D6A">
      <w:pPr>
        <w:spacing w:after="0"/>
        <w:jc w:val="both"/>
      </w:pPr>
    </w:p>
    <w:p w14:paraId="6F8B8577" w14:textId="77777777" w:rsidR="00BC3D63" w:rsidRDefault="00BC3D63" w:rsidP="00B43D6A">
      <w:pPr>
        <w:spacing w:after="0"/>
        <w:jc w:val="both"/>
      </w:pPr>
      <w:r>
        <w:t xml:space="preserve">What the partnership must do is to ensure that any partnership agreement reflects this arrangement and also gives the remaining partners the ability to use the suspended partners’ usual drawings to pay for the cost of a locum. It is important that if the Determination is used, then the partnership ensures that it, and the suspended partner, are protected and that the process is clear in the partnership agreement. In this way, the practice benefits by being able to draw on the suspended partners’ drawings to pay for a locum and the suspended partner is not out of pocket because he is receiving 90% of his normal drawings from NHSE. </w:t>
      </w:r>
    </w:p>
    <w:p w14:paraId="568C1B0B" w14:textId="77777777" w:rsidR="00C46FA0" w:rsidRDefault="00C46FA0" w:rsidP="00B43D6A">
      <w:pPr>
        <w:spacing w:after="0"/>
        <w:jc w:val="both"/>
      </w:pPr>
    </w:p>
    <w:p w14:paraId="57F655BA" w14:textId="77777777" w:rsidR="00BC3D63" w:rsidRDefault="00BC3D63" w:rsidP="00B43D6A">
      <w:pPr>
        <w:spacing w:after="0"/>
        <w:jc w:val="both"/>
      </w:pPr>
      <w:r>
        <w:t xml:space="preserve">Accurate details about monthly drawings will have to be provided to NHSE including details of any insurance policies in place for locum cover. </w:t>
      </w:r>
      <w:proofErr w:type="gramStart"/>
      <w:r>
        <w:t>Usually</w:t>
      </w:r>
      <w:proofErr w:type="gramEnd"/>
      <w:r>
        <w:t xml:space="preserve"> the partnership agreement is provided to prove that the practice has the ability to stop making drawings in the event of a suspension. </w:t>
      </w:r>
    </w:p>
    <w:p w14:paraId="2043AD85" w14:textId="77777777" w:rsidR="00BC3D63" w:rsidRDefault="00BC3D63" w:rsidP="00B43D6A">
      <w:pPr>
        <w:spacing w:after="0"/>
        <w:jc w:val="both"/>
      </w:pPr>
      <w:r>
        <w:t xml:space="preserve"> </w:t>
      </w:r>
    </w:p>
    <w:p w14:paraId="5F647ED6" w14:textId="77777777" w:rsidR="00D8622A" w:rsidRDefault="00D8622A" w:rsidP="00B43D6A">
      <w:pPr>
        <w:spacing w:after="0"/>
        <w:jc w:val="both"/>
      </w:pPr>
    </w:p>
    <w:p w14:paraId="2D62C870" w14:textId="77777777" w:rsidR="00D8622A" w:rsidRDefault="00D8622A" w:rsidP="00B43D6A">
      <w:pPr>
        <w:spacing w:after="0"/>
        <w:jc w:val="both"/>
      </w:pPr>
    </w:p>
    <w:p w14:paraId="41B02B5B" w14:textId="77777777" w:rsidR="00BC3D63" w:rsidRDefault="00BC3D63" w:rsidP="00B43D6A">
      <w:pPr>
        <w:spacing w:after="0"/>
        <w:jc w:val="both"/>
      </w:pPr>
      <w:r>
        <w:t xml:space="preserve">Guidance developed by:  LMC LAW Limited </w:t>
      </w:r>
    </w:p>
    <w:p w14:paraId="1E7C2484" w14:textId="77777777" w:rsidR="00957EFA" w:rsidRDefault="00957EFA" w:rsidP="00B43D6A">
      <w:pPr>
        <w:spacing w:after="0"/>
        <w:jc w:val="both"/>
      </w:pPr>
    </w:p>
    <w:p w14:paraId="1B91A95B" w14:textId="77777777" w:rsidR="00957EFA" w:rsidRDefault="00957EFA" w:rsidP="00B43D6A">
      <w:pPr>
        <w:spacing w:after="0"/>
        <w:jc w:val="both"/>
      </w:pPr>
    </w:p>
    <w:p w14:paraId="3E1AD3E3" w14:textId="77777777" w:rsidR="00BC3D63" w:rsidRDefault="00BC3D63" w:rsidP="00B43D6A">
      <w:pPr>
        <w:spacing w:after="0"/>
        <w:jc w:val="both"/>
      </w:pPr>
      <w:r>
        <w:t xml:space="preserve">Date of issue:   October 2014 </w:t>
      </w:r>
    </w:p>
    <w:p w14:paraId="263F7E6A" w14:textId="77777777" w:rsidR="00D8622A" w:rsidRDefault="00D8622A" w:rsidP="00D8622A">
      <w:pPr>
        <w:spacing w:after="0"/>
        <w:ind w:left="993" w:firstLine="425"/>
        <w:jc w:val="both"/>
      </w:pPr>
      <w:r>
        <w:t>Updated 2019</w:t>
      </w:r>
    </w:p>
    <w:p w14:paraId="6CE15EE7" w14:textId="77777777" w:rsidR="00BC3D63" w:rsidRDefault="00BC3D63" w:rsidP="00B43D6A">
      <w:pPr>
        <w:spacing w:after="0"/>
      </w:pPr>
      <w:r>
        <w:t xml:space="preserve"> </w:t>
      </w:r>
    </w:p>
    <w:p w14:paraId="1D02BF2D" w14:textId="77777777" w:rsidR="00BC3D63" w:rsidRDefault="00BC3D63" w:rsidP="00B43D6A">
      <w:pPr>
        <w:spacing w:after="0"/>
      </w:pPr>
      <w:r>
        <w:t xml:space="preserve"> </w:t>
      </w:r>
    </w:p>
    <w:p w14:paraId="0D6CF38C" w14:textId="77777777" w:rsidR="00BC3D63" w:rsidRDefault="00BC3D63" w:rsidP="00B43D6A">
      <w:pPr>
        <w:spacing w:after="0"/>
      </w:pPr>
      <w:r>
        <w:t xml:space="preserve"> </w:t>
      </w:r>
    </w:p>
    <w:sectPr w:rsidR="00BC3D63" w:rsidSect="00083B79">
      <w:footerReference w:type="default" r:id="rId8"/>
      <w:pgSz w:w="11906" w:h="16838"/>
      <w:pgMar w:top="1440" w:right="1440" w:bottom="1440" w:left="144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E4B13" w14:textId="77777777" w:rsidR="00503256" w:rsidRDefault="00503256" w:rsidP="00083B79">
      <w:pPr>
        <w:spacing w:after="0" w:line="240" w:lineRule="auto"/>
      </w:pPr>
      <w:r>
        <w:separator/>
      </w:r>
    </w:p>
  </w:endnote>
  <w:endnote w:type="continuationSeparator" w:id="0">
    <w:p w14:paraId="7A647455" w14:textId="77777777" w:rsidR="00503256" w:rsidRDefault="00503256" w:rsidP="00083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B34D1" w14:textId="77777777" w:rsidR="00083B79" w:rsidRDefault="00083B79">
    <w:pPr>
      <w:pStyle w:val="Foote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83B79" w14:paraId="5EA7E04E" w14:textId="77777777" w:rsidTr="00DE327B">
      <w:tc>
        <w:tcPr>
          <w:tcW w:w="4508" w:type="dxa"/>
        </w:tcPr>
        <w:p w14:paraId="33761A2E" w14:textId="77777777" w:rsidR="00083B79" w:rsidRDefault="00083B79" w:rsidP="00083B7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35</w:t>
          </w:r>
          <w:r>
            <w:rPr>
              <w:b/>
              <w:bCs/>
              <w:sz w:val="24"/>
              <w:szCs w:val="24"/>
            </w:rPr>
            <w:fldChar w:fldCharType="end"/>
          </w:r>
        </w:p>
      </w:tc>
      <w:tc>
        <w:tcPr>
          <w:tcW w:w="4508" w:type="dxa"/>
        </w:tcPr>
        <w:p w14:paraId="54D7320C" w14:textId="77777777" w:rsidR="00083B79" w:rsidRPr="00C575CE" w:rsidRDefault="00083B79" w:rsidP="00083B79">
          <w:pPr>
            <w:ind w:left="360"/>
            <w:jc w:val="right"/>
            <w:rPr>
              <w:sz w:val="16"/>
              <w:szCs w:val="16"/>
            </w:rPr>
          </w:pPr>
          <w:r>
            <w:rPr>
              <w:sz w:val="16"/>
              <w:szCs w:val="16"/>
            </w:rPr>
            <w:t xml:space="preserve">Copyright LMC Law Limited © 2018                                                                                                                                                                      </w:t>
          </w:r>
          <w:r w:rsidRPr="0067690A">
            <w:rPr>
              <w:sz w:val="16"/>
              <w:szCs w:val="16"/>
            </w:rPr>
            <w:t xml:space="preserve">                                                                                                                                                                Company registered in England and Wales 08977566</w:t>
          </w:r>
        </w:p>
      </w:tc>
    </w:tr>
  </w:tbl>
  <w:p w14:paraId="69550A64" w14:textId="77777777" w:rsidR="00083B79" w:rsidRDefault="00083B79">
    <w:pPr>
      <w:pStyle w:val="Footer"/>
    </w:pPr>
  </w:p>
  <w:p w14:paraId="7E7C9A68" w14:textId="77777777" w:rsidR="00083B79" w:rsidRDefault="00083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C27A9" w14:textId="77777777" w:rsidR="00503256" w:rsidRDefault="00503256" w:rsidP="00083B79">
      <w:pPr>
        <w:spacing w:after="0" w:line="240" w:lineRule="auto"/>
      </w:pPr>
      <w:r>
        <w:separator/>
      </w:r>
    </w:p>
  </w:footnote>
  <w:footnote w:type="continuationSeparator" w:id="0">
    <w:p w14:paraId="2013F93F" w14:textId="77777777" w:rsidR="00503256" w:rsidRDefault="00503256" w:rsidP="00083B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D15EF3"/>
    <w:multiLevelType w:val="hybridMultilevel"/>
    <w:tmpl w:val="96522E00"/>
    <w:lvl w:ilvl="0" w:tplc="611038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6A8F3A00"/>
    <w:multiLevelType w:val="hybridMultilevel"/>
    <w:tmpl w:val="33827ED2"/>
    <w:lvl w:ilvl="0" w:tplc="9266CC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89933633">
    <w:abstractNumId w:val="0"/>
  </w:num>
  <w:num w:numId="2" w16cid:durableId="278220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D63"/>
    <w:rsid w:val="00083B79"/>
    <w:rsid w:val="00165AE7"/>
    <w:rsid w:val="00173C7D"/>
    <w:rsid w:val="001C1B9B"/>
    <w:rsid w:val="001C6DA9"/>
    <w:rsid w:val="00244464"/>
    <w:rsid w:val="002E25E0"/>
    <w:rsid w:val="00383BBB"/>
    <w:rsid w:val="00420908"/>
    <w:rsid w:val="004F133D"/>
    <w:rsid w:val="00503256"/>
    <w:rsid w:val="00512404"/>
    <w:rsid w:val="00546B6E"/>
    <w:rsid w:val="0056281F"/>
    <w:rsid w:val="005A3A3B"/>
    <w:rsid w:val="0068296C"/>
    <w:rsid w:val="006F4C9B"/>
    <w:rsid w:val="007325A0"/>
    <w:rsid w:val="00777AA5"/>
    <w:rsid w:val="007E139B"/>
    <w:rsid w:val="008105AF"/>
    <w:rsid w:val="00885761"/>
    <w:rsid w:val="008C56B9"/>
    <w:rsid w:val="008E077B"/>
    <w:rsid w:val="00957EFA"/>
    <w:rsid w:val="00A05FE2"/>
    <w:rsid w:val="00A54B81"/>
    <w:rsid w:val="00A91DCA"/>
    <w:rsid w:val="00B43D6A"/>
    <w:rsid w:val="00BC3D63"/>
    <w:rsid w:val="00C40633"/>
    <w:rsid w:val="00C46FA0"/>
    <w:rsid w:val="00C60C78"/>
    <w:rsid w:val="00D8622A"/>
    <w:rsid w:val="00E16C4A"/>
    <w:rsid w:val="00EE3DF5"/>
    <w:rsid w:val="00F6795C"/>
    <w:rsid w:val="00F96456"/>
    <w:rsid w:val="00FB5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29853"/>
  <w15:chartTrackingRefBased/>
  <w15:docId w15:val="{A50CF80C-1695-44A0-A99E-0D55EAAD0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5E0"/>
    <w:pPr>
      <w:ind w:left="720"/>
      <w:contextualSpacing/>
    </w:pPr>
  </w:style>
  <w:style w:type="paragraph" w:styleId="Header">
    <w:name w:val="header"/>
    <w:basedOn w:val="Normal"/>
    <w:link w:val="HeaderChar"/>
    <w:uiPriority w:val="99"/>
    <w:unhideWhenUsed/>
    <w:rsid w:val="00083B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B79"/>
  </w:style>
  <w:style w:type="paragraph" w:styleId="Footer">
    <w:name w:val="footer"/>
    <w:basedOn w:val="Normal"/>
    <w:link w:val="FooterChar"/>
    <w:uiPriority w:val="99"/>
    <w:unhideWhenUsed/>
    <w:rsid w:val="00083B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B79"/>
  </w:style>
  <w:style w:type="table" w:styleId="TableGrid">
    <w:name w:val="Table Grid"/>
    <w:basedOn w:val="TableNormal"/>
    <w:uiPriority w:val="59"/>
    <w:rsid w:val="00083B79"/>
    <w:pPr>
      <w:spacing w:after="0" w:line="240" w:lineRule="auto"/>
      <w:ind w:left="357" w:hanging="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Poulton</dc:creator>
  <cp:keywords/>
  <dc:description/>
  <cp:lastModifiedBy>Helene Clark</cp:lastModifiedBy>
  <cp:revision>2</cp:revision>
  <dcterms:created xsi:type="dcterms:W3CDTF">2023-07-19T08:07:00Z</dcterms:created>
  <dcterms:modified xsi:type="dcterms:W3CDTF">2023-07-19T08:07:00Z</dcterms:modified>
</cp:coreProperties>
</file>